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85" w:rsidRDefault="00FC5485" w:rsidP="00FC5485">
      <w:pPr>
        <w:autoSpaceDE w:val="0"/>
        <w:autoSpaceDN w:val="0"/>
        <w:adjustRightInd w:val="0"/>
        <w:rPr>
          <w:b/>
          <w:szCs w:val="20"/>
          <w:u w:val="single"/>
          <w:lang w:eastAsia="nl-BE"/>
        </w:rPr>
      </w:pPr>
      <w:r>
        <w:rPr>
          <w:b/>
          <w:szCs w:val="20"/>
          <w:u w:val="single"/>
          <w:lang w:eastAsia="nl-BE"/>
        </w:rPr>
        <w:t>Gemeentelijke retributie voor de uitvoering van werken door gemeentepersoneel: rechtzetting.</w:t>
      </w:r>
    </w:p>
    <w:p w:rsidR="00FC5485" w:rsidRDefault="00FC5485" w:rsidP="00FC5485">
      <w:pPr>
        <w:autoSpaceDE w:val="0"/>
        <w:autoSpaceDN w:val="0"/>
        <w:adjustRightInd w:val="0"/>
        <w:rPr>
          <w:sz w:val="20"/>
          <w:szCs w:val="20"/>
          <w:lang w:eastAsia="nl-BE"/>
        </w:rPr>
      </w:pPr>
    </w:p>
    <w:p w:rsidR="00FC5485" w:rsidRDefault="00FC5485" w:rsidP="00FC5485">
      <w:r>
        <w:rPr>
          <w:u w:val="single"/>
        </w:rPr>
        <w:t>Artikel 1</w:t>
      </w:r>
      <w:r>
        <w:t>: Er wordt een gemeentelijke retributie aangerekend voor diensten/werken die door het gemeentepersoneel moeten worden verricht door toedoen van derden, tenzij deze uitvoering aanleiding geeft tot de toepassing van een andere gemeenteverordening van belasting of retributie, of tenzij plaats heeft krachtens een aparte schriftelijke overeenkomst.</w:t>
      </w:r>
    </w:p>
    <w:p w:rsidR="00FC5485" w:rsidRDefault="00FC5485" w:rsidP="00FC5485">
      <w:r>
        <w:rPr>
          <w:u w:val="single"/>
        </w:rPr>
        <w:t>Artikel 2</w:t>
      </w:r>
      <w:r>
        <w:t>: De retributie is verschuldigd door de persoon die de schade of de vervuiling aan het gemeentelijk patrimonium aangericht heeft of die de uitvoering van de werken/diensten aanvraagt.</w:t>
      </w:r>
    </w:p>
    <w:p w:rsidR="00FC5485" w:rsidRDefault="00FC5485" w:rsidP="00FC5485">
      <w:r>
        <w:rPr>
          <w:u w:val="single"/>
        </w:rPr>
        <w:t>Artikel 3</w:t>
      </w:r>
      <w:r>
        <w:t>: De retributie is verschuldigd door de leverancier van diensten, werken of leveringen die gebrekkig zijn tijdens de uitvoering van de overheidsopdracht en waarbij het bestuur, in regie en met eigen middelen en prestaties, die gebrekkigheid volledig of gedeeltelijk oplost.</w:t>
      </w:r>
    </w:p>
    <w:p w:rsidR="00FC5485" w:rsidRDefault="00FC5485" w:rsidP="00FC5485">
      <w:r>
        <w:rPr>
          <w:u w:val="single"/>
        </w:rPr>
        <w:t>Artikel 4</w:t>
      </w:r>
      <w:r>
        <w:t>: De retributie is verschuldigd door de leverancier van diensten, werken of leveringen die gebrekkig zijn tijdens de uitvoering van de overheidsopdracht en waarbij noch het bestuur, noch de leverancier een oplossing kan bieden, het tarief is verschuldigd per uur en per werkdag en dit tot het tijdstip waarop de overheidsopdracht niet langer gebrekkig is.</w:t>
      </w:r>
    </w:p>
    <w:p w:rsidR="00FC5485" w:rsidRDefault="00FC5485" w:rsidP="00FC5485">
      <w:r>
        <w:rPr>
          <w:u w:val="single"/>
        </w:rPr>
        <w:t>Artikel 5</w:t>
      </w:r>
      <w:r>
        <w:t>: De retributie wordt vastgesteld als volgt:</w:t>
      </w:r>
    </w:p>
    <w:p w:rsidR="00FC5485" w:rsidRDefault="00FC5485" w:rsidP="00FC5485">
      <w:pPr>
        <w:rPr>
          <w:u w:val="single"/>
        </w:rPr>
      </w:pPr>
      <w:r>
        <w:rPr>
          <w:u w:val="single"/>
        </w:rPr>
        <w:t>Personeel:</w:t>
      </w:r>
    </w:p>
    <w:tbl>
      <w:tblPr>
        <w:tblStyle w:val="Tabelraster"/>
        <w:tblW w:w="0" w:type="auto"/>
        <w:tblInd w:w="0" w:type="dxa"/>
        <w:tblLook w:val="04A0" w:firstRow="1" w:lastRow="0" w:firstColumn="1" w:lastColumn="0" w:noHBand="0" w:noVBand="1"/>
      </w:tblPr>
      <w:tblGrid>
        <w:gridCol w:w="3070"/>
        <w:gridCol w:w="3071"/>
        <w:gridCol w:w="3071"/>
      </w:tblGrid>
      <w:tr w:rsidR="00FC5485" w:rsidTr="00FC5485">
        <w:tc>
          <w:tcPr>
            <w:tcW w:w="3070" w:type="dxa"/>
            <w:tcBorders>
              <w:top w:val="single" w:sz="4" w:space="0" w:color="auto"/>
              <w:left w:val="single" w:sz="4" w:space="0" w:color="auto"/>
              <w:bottom w:val="single" w:sz="4" w:space="0" w:color="auto"/>
              <w:right w:val="single" w:sz="4" w:space="0" w:color="auto"/>
            </w:tcBorders>
            <w:hideMark/>
          </w:tcPr>
          <w:p w:rsidR="00FC5485" w:rsidRDefault="00FC5485">
            <w:pPr>
              <w:rPr>
                <w:b/>
              </w:rPr>
            </w:pPr>
            <w:r>
              <w:rPr>
                <w:b/>
              </w:rPr>
              <w:t>Tijdens de diensturen</w:t>
            </w:r>
          </w:p>
        </w:tc>
        <w:tc>
          <w:tcPr>
            <w:tcW w:w="3071" w:type="dxa"/>
            <w:tcBorders>
              <w:top w:val="single" w:sz="4" w:space="0" w:color="auto"/>
              <w:left w:val="single" w:sz="4" w:space="0" w:color="auto"/>
              <w:bottom w:val="single" w:sz="4" w:space="0" w:color="auto"/>
              <w:right w:val="single" w:sz="4" w:space="0" w:color="auto"/>
            </w:tcBorders>
          </w:tcPr>
          <w:p w:rsidR="00FC5485" w:rsidRDefault="00FC5485"/>
        </w:tc>
        <w:tc>
          <w:tcPr>
            <w:tcW w:w="3071" w:type="dxa"/>
            <w:tcBorders>
              <w:top w:val="single" w:sz="4" w:space="0" w:color="auto"/>
              <w:left w:val="single" w:sz="4" w:space="0" w:color="auto"/>
              <w:bottom w:val="single" w:sz="4" w:space="0" w:color="auto"/>
              <w:right w:val="single" w:sz="4" w:space="0" w:color="auto"/>
            </w:tcBorders>
          </w:tcPr>
          <w:p w:rsidR="00FC5485" w:rsidRDefault="00FC5485"/>
        </w:tc>
      </w:tr>
      <w:tr w:rsidR="00FC5485" w:rsidTr="00FC5485">
        <w:tc>
          <w:tcPr>
            <w:tcW w:w="3070" w:type="dxa"/>
            <w:tcBorders>
              <w:top w:val="single" w:sz="4" w:space="0" w:color="auto"/>
              <w:left w:val="single" w:sz="4" w:space="0" w:color="auto"/>
              <w:bottom w:val="single" w:sz="4" w:space="0" w:color="auto"/>
              <w:right w:val="single" w:sz="4" w:space="0" w:color="auto"/>
            </w:tcBorders>
            <w:hideMark/>
          </w:tcPr>
          <w:p w:rsidR="00FC5485" w:rsidRDefault="00FC5485">
            <w:r>
              <w:t>Arbeider</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uurtarief</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 xml:space="preserve">€ 40 </w:t>
            </w:r>
          </w:p>
        </w:tc>
      </w:tr>
      <w:tr w:rsidR="00FC5485" w:rsidTr="00FC5485">
        <w:tc>
          <w:tcPr>
            <w:tcW w:w="3070" w:type="dxa"/>
            <w:tcBorders>
              <w:top w:val="single" w:sz="4" w:space="0" w:color="auto"/>
              <w:left w:val="single" w:sz="4" w:space="0" w:color="auto"/>
              <w:bottom w:val="single" w:sz="4" w:space="0" w:color="auto"/>
              <w:right w:val="single" w:sz="4" w:space="0" w:color="auto"/>
            </w:tcBorders>
            <w:hideMark/>
          </w:tcPr>
          <w:p w:rsidR="00FC5485" w:rsidRDefault="00FC5485">
            <w:r>
              <w:t>Administratief medewerker</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uurtarief</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€ 40</w:t>
            </w:r>
          </w:p>
        </w:tc>
      </w:tr>
      <w:tr w:rsidR="00FC5485" w:rsidTr="00FC5485">
        <w:tc>
          <w:tcPr>
            <w:tcW w:w="3070" w:type="dxa"/>
            <w:tcBorders>
              <w:top w:val="single" w:sz="4" w:space="0" w:color="auto"/>
              <w:left w:val="single" w:sz="4" w:space="0" w:color="auto"/>
              <w:bottom w:val="single" w:sz="4" w:space="0" w:color="auto"/>
              <w:right w:val="single" w:sz="4" w:space="0" w:color="auto"/>
            </w:tcBorders>
            <w:hideMark/>
          </w:tcPr>
          <w:p w:rsidR="00FC5485" w:rsidRDefault="00FC5485">
            <w:pPr>
              <w:rPr>
                <w:b/>
              </w:rPr>
            </w:pPr>
            <w:r>
              <w:rPr>
                <w:b/>
              </w:rPr>
              <w:t>Buiten de diensturen + zon- en feestdagen</w:t>
            </w:r>
          </w:p>
        </w:tc>
        <w:tc>
          <w:tcPr>
            <w:tcW w:w="3071" w:type="dxa"/>
            <w:tcBorders>
              <w:top w:val="single" w:sz="4" w:space="0" w:color="auto"/>
              <w:left w:val="single" w:sz="4" w:space="0" w:color="auto"/>
              <w:bottom w:val="single" w:sz="4" w:space="0" w:color="auto"/>
              <w:right w:val="single" w:sz="4" w:space="0" w:color="auto"/>
            </w:tcBorders>
          </w:tcPr>
          <w:p w:rsidR="00FC5485" w:rsidRDefault="00FC5485"/>
        </w:tc>
        <w:tc>
          <w:tcPr>
            <w:tcW w:w="3071" w:type="dxa"/>
            <w:tcBorders>
              <w:top w:val="single" w:sz="4" w:space="0" w:color="auto"/>
              <w:left w:val="single" w:sz="4" w:space="0" w:color="auto"/>
              <w:bottom w:val="single" w:sz="4" w:space="0" w:color="auto"/>
              <w:right w:val="single" w:sz="4" w:space="0" w:color="auto"/>
            </w:tcBorders>
          </w:tcPr>
          <w:p w:rsidR="00FC5485" w:rsidRDefault="00FC5485"/>
        </w:tc>
      </w:tr>
      <w:tr w:rsidR="00FC5485" w:rsidTr="00FC5485">
        <w:tc>
          <w:tcPr>
            <w:tcW w:w="3070" w:type="dxa"/>
            <w:tcBorders>
              <w:top w:val="single" w:sz="4" w:space="0" w:color="auto"/>
              <w:left w:val="single" w:sz="4" w:space="0" w:color="auto"/>
              <w:bottom w:val="single" w:sz="4" w:space="0" w:color="auto"/>
              <w:right w:val="single" w:sz="4" w:space="0" w:color="auto"/>
            </w:tcBorders>
            <w:hideMark/>
          </w:tcPr>
          <w:p w:rsidR="00FC5485" w:rsidRDefault="00FC5485">
            <w:r>
              <w:t>Arbeider</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uurtarief</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€ 80</w:t>
            </w:r>
          </w:p>
        </w:tc>
      </w:tr>
      <w:tr w:rsidR="00FC5485" w:rsidTr="00FC5485">
        <w:tc>
          <w:tcPr>
            <w:tcW w:w="3070" w:type="dxa"/>
            <w:tcBorders>
              <w:top w:val="single" w:sz="4" w:space="0" w:color="auto"/>
              <w:left w:val="single" w:sz="4" w:space="0" w:color="auto"/>
              <w:bottom w:val="single" w:sz="4" w:space="0" w:color="auto"/>
              <w:right w:val="single" w:sz="4" w:space="0" w:color="auto"/>
            </w:tcBorders>
            <w:hideMark/>
          </w:tcPr>
          <w:p w:rsidR="00FC5485" w:rsidRDefault="00FC5485">
            <w:r>
              <w:t>Administratief medewerker</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uurtarief</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€ 80</w:t>
            </w:r>
          </w:p>
        </w:tc>
      </w:tr>
    </w:tbl>
    <w:p w:rsidR="00FC5485" w:rsidRDefault="00FC5485" w:rsidP="00FC5485">
      <w:pPr>
        <w:rPr>
          <w:u w:val="single"/>
        </w:rPr>
      </w:pPr>
    </w:p>
    <w:p w:rsidR="00FC5485" w:rsidRDefault="00FC5485" w:rsidP="00FC5485">
      <w:pPr>
        <w:rPr>
          <w:u w:val="single"/>
        </w:rPr>
      </w:pPr>
      <w:r>
        <w:rPr>
          <w:u w:val="single"/>
        </w:rPr>
        <w:t>Voertuigen (uurloon personeel niet inbegrepen)</w:t>
      </w:r>
    </w:p>
    <w:tbl>
      <w:tblPr>
        <w:tblStyle w:val="Tabelraster"/>
        <w:tblW w:w="0" w:type="auto"/>
        <w:tblInd w:w="0" w:type="dxa"/>
        <w:tblLook w:val="04A0" w:firstRow="1" w:lastRow="0" w:firstColumn="1" w:lastColumn="0" w:noHBand="0" w:noVBand="1"/>
      </w:tblPr>
      <w:tblGrid>
        <w:gridCol w:w="3070"/>
        <w:gridCol w:w="3071"/>
        <w:gridCol w:w="3071"/>
      </w:tblGrid>
      <w:tr w:rsidR="00FC5485" w:rsidTr="00FC5485">
        <w:tc>
          <w:tcPr>
            <w:tcW w:w="3070" w:type="dxa"/>
            <w:tcBorders>
              <w:top w:val="single" w:sz="4" w:space="0" w:color="auto"/>
              <w:left w:val="single" w:sz="4" w:space="0" w:color="auto"/>
              <w:bottom w:val="single" w:sz="4" w:space="0" w:color="auto"/>
              <w:right w:val="single" w:sz="4" w:space="0" w:color="auto"/>
            </w:tcBorders>
            <w:hideMark/>
          </w:tcPr>
          <w:p w:rsidR="00FC5485" w:rsidRDefault="00FC5485">
            <w:r>
              <w:t>Veegmachine</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uurtarief</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€ 35</w:t>
            </w:r>
          </w:p>
        </w:tc>
      </w:tr>
      <w:tr w:rsidR="00FC5485" w:rsidTr="00FC5485">
        <w:tc>
          <w:tcPr>
            <w:tcW w:w="3070" w:type="dxa"/>
            <w:tcBorders>
              <w:top w:val="single" w:sz="4" w:space="0" w:color="auto"/>
              <w:left w:val="single" w:sz="4" w:space="0" w:color="auto"/>
              <w:bottom w:val="single" w:sz="4" w:space="0" w:color="auto"/>
              <w:right w:val="single" w:sz="4" w:space="0" w:color="auto"/>
            </w:tcBorders>
            <w:hideMark/>
          </w:tcPr>
          <w:p w:rsidR="00FC5485" w:rsidRDefault="00FC5485">
            <w:r>
              <w:t>Tractor</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uurtarief</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€ 35</w:t>
            </w:r>
          </w:p>
        </w:tc>
      </w:tr>
      <w:tr w:rsidR="00FC5485" w:rsidTr="00FC5485">
        <w:tc>
          <w:tcPr>
            <w:tcW w:w="3070" w:type="dxa"/>
            <w:tcBorders>
              <w:top w:val="single" w:sz="4" w:space="0" w:color="auto"/>
              <w:left w:val="single" w:sz="4" w:space="0" w:color="auto"/>
              <w:bottom w:val="single" w:sz="4" w:space="0" w:color="auto"/>
              <w:right w:val="single" w:sz="4" w:space="0" w:color="auto"/>
            </w:tcBorders>
            <w:hideMark/>
          </w:tcPr>
          <w:p w:rsidR="00FC5485" w:rsidRDefault="00FC5485">
            <w:r>
              <w:t xml:space="preserve">Vrachtwagen </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uurtarief</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€ 50</w:t>
            </w:r>
          </w:p>
        </w:tc>
      </w:tr>
      <w:tr w:rsidR="00FC5485" w:rsidTr="00FC5485">
        <w:tc>
          <w:tcPr>
            <w:tcW w:w="3070" w:type="dxa"/>
            <w:tcBorders>
              <w:top w:val="single" w:sz="4" w:space="0" w:color="auto"/>
              <w:left w:val="single" w:sz="4" w:space="0" w:color="auto"/>
              <w:bottom w:val="single" w:sz="4" w:space="0" w:color="auto"/>
              <w:right w:val="single" w:sz="4" w:space="0" w:color="auto"/>
            </w:tcBorders>
            <w:hideMark/>
          </w:tcPr>
          <w:p w:rsidR="00FC5485" w:rsidRDefault="00FC5485">
            <w:r>
              <w:t>Kraan</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uurtarief</w:t>
            </w:r>
          </w:p>
        </w:tc>
        <w:tc>
          <w:tcPr>
            <w:tcW w:w="3071" w:type="dxa"/>
            <w:tcBorders>
              <w:top w:val="single" w:sz="4" w:space="0" w:color="auto"/>
              <w:left w:val="single" w:sz="4" w:space="0" w:color="auto"/>
              <w:bottom w:val="single" w:sz="4" w:space="0" w:color="auto"/>
              <w:right w:val="single" w:sz="4" w:space="0" w:color="auto"/>
            </w:tcBorders>
            <w:hideMark/>
          </w:tcPr>
          <w:p w:rsidR="00FC5485" w:rsidRDefault="00FC5485">
            <w:r>
              <w:t>€ 50</w:t>
            </w:r>
          </w:p>
        </w:tc>
      </w:tr>
    </w:tbl>
    <w:p w:rsidR="00FC5485" w:rsidRDefault="00FC5485" w:rsidP="00FC5485">
      <w:r>
        <w:t>Aangewende producten of vervangingsmaterialen worden aangerekend aan de werkelijke kostprijs inclusief alle kosten en belastingen zoals door het gemeentebestuur zelf betaald.</w:t>
      </w:r>
    </w:p>
    <w:p w:rsidR="00FC5485" w:rsidRDefault="00FC5485" w:rsidP="00FC5485">
      <w:r>
        <w:rPr>
          <w:u w:val="single"/>
        </w:rPr>
        <w:t>Artikel 6</w:t>
      </w:r>
      <w:r>
        <w:t xml:space="preserve">: Bij de berekening van de </w:t>
      </w:r>
      <w:proofErr w:type="spellStart"/>
      <w:r>
        <w:t>uurprestaties</w:t>
      </w:r>
      <w:proofErr w:type="spellEnd"/>
      <w:r>
        <w:t xml:space="preserve"> zal elk begonnen uur worden aangerekend als een volledig uur.</w:t>
      </w:r>
    </w:p>
    <w:p w:rsidR="00FC5485" w:rsidRDefault="00FC5485" w:rsidP="00FC5485">
      <w:r>
        <w:rPr>
          <w:u w:val="single"/>
        </w:rPr>
        <w:t>Artikel 7</w:t>
      </w:r>
      <w:r>
        <w:t>: Voor de toepassing van dit reglement verstaat men onder de term ‘diensturen’ van maandag tot vrijdag van 8u. – 12u. en van 13u. – 16.30u.</w:t>
      </w:r>
    </w:p>
    <w:p w:rsidR="00FC5485" w:rsidRDefault="00FC5485" w:rsidP="00FC5485">
      <w:r>
        <w:rPr>
          <w:u w:val="single"/>
        </w:rPr>
        <w:t>Artikel 8</w:t>
      </w:r>
      <w:r>
        <w:t>: De retributie moet betaald worden door middel van de factuur opgesteld door het gemeentebestuur na beëindiging van de werken en dit binnen 30 kalenderdagen na factuurdatum.</w:t>
      </w:r>
    </w:p>
    <w:p w:rsidR="00FC5485" w:rsidRDefault="00FC5485" w:rsidP="00FC5485">
      <w:r>
        <w:rPr>
          <w:u w:val="single"/>
        </w:rPr>
        <w:t>Artikel 9</w:t>
      </w:r>
      <w:r>
        <w:t>: Bij niet tijdige betaling van de factuur zal deze worden ingevorderd volgens de bepalingen in het gemeentelijk retributiereglement inzake (niet) fiscale invorderingen, hiervoor zal eerst een eerste aanmaning gestuurd worden met mogelijkheid om te betalen binnen de 14 kalenderdagen na datum van eerste aanmaning, vervolgens zal een aangetekende laatste aanmaning verstuurd worden waarbij de hoofdsom wordt verhoogd met € 20,00 administratiekosten + kostprijs aangetekende zending met mogelijkheid tot betaling binnen de 14 kalenderdagen na datum van laatste aanmaning, vervolgens zal een niet fiscaal dwangbevel worden uitgevaardigd.</w:t>
      </w:r>
    </w:p>
    <w:p w:rsidR="00FC5485" w:rsidRDefault="00FC5485" w:rsidP="00FC5485">
      <w:pPr>
        <w:rPr>
          <w:lang w:val="nl-NL"/>
        </w:rPr>
      </w:pPr>
      <w:r>
        <w:rPr>
          <w:u w:val="single"/>
          <w:lang w:val="nl-NL"/>
        </w:rPr>
        <w:t>Artikel 10</w:t>
      </w:r>
      <w:r>
        <w:rPr>
          <w:lang w:val="nl-NL"/>
        </w:rPr>
        <w:t xml:space="preserve">: Delegatie </w:t>
      </w:r>
    </w:p>
    <w:p w:rsidR="00FC5485" w:rsidRDefault="00FC5485" w:rsidP="00FC5485">
      <w:r>
        <w:t xml:space="preserve">Het college van burgemeester en schepenen wordt gemachtigd tot </w:t>
      </w:r>
    </w:p>
    <w:p w:rsidR="00FC5485" w:rsidRDefault="00FC5485" w:rsidP="00FC5485">
      <w:pPr>
        <w:numPr>
          <w:ilvl w:val="0"/>
          <w:numId w:val="1"/>
        </w:numPr>
      </w:pPr>
      <w:r>
        <w:t>het wijzigen van de tarieven van de retributies die vastgesteld worden in het retributiereglement</w:t>
      </w:r>
    </w:p>
    <w:p w:rsidR="00FC5485" w:rsidRDefault="00FC5485" w:rsidP="00FC5485">
      <w:pPr>
        <w:numPr>
          <w:ilvl w:val="0"/>
          <w:numId w:val="1"/>
        </w:numPr>
      </w:pPr>
      <w:r>
        <w:t>het bepalen van de wijze van inning van de retributies.</w:t>
      </w:r>
    </w:p>
    <w:p w:rsidR="00FC5485" w:rsidRDefault="00FC5485" w:rsidP="00FC5485">
      <w:r>
        <w:rPr>
          <w:u w:val="single"/>
        </w:rPr>
        <w:t>Artikel 11</w:t>
      </w:r>
      <w:r>
        <w:t>: Het gemeenteraadsbesluit van 28 januari 2016 wordt opgeheven.</w:t>
      </w:r>
    </w:p>
    <w:p w:rsidR="00FC5485" w:rsidRDefault="00FC5485" w:rsidP="00FC5485">
      <w:r>
        <w:rPr>
          <w:u w:val="single"/>
        </w:rPr>
        <w:t>Artikel 12</w:t>
      </w:r>
      <w:r>
        <w:t xml:space="preserve">: Huidig reglement treedt in werking op 1 januari 2017. </w:t>
      </w:r>
    </w:p>
    <w:p w:rsidR="00FC5485" w:rsidRDefault="00FC5485" w:rsidP="00FC5485">
      <w:r>
        <w:rPr>
          <w:u w:val="single"/>
        </w:rPr>
        <w:t>Artikel 13:</w:t>
      </w:r>
      <w:r>
        <w:t xml:space="preserve"> Afschrift van dit besluit zal worden gestuurd aan:</w:t>
      </w:r>
    </w:p>
    <w:p w:rsidR="00FC5485" w:rsidRDefault="00FC5485" w:rsidP="00FC5485">
      <w:pPr>
        <w:pStyle w:val="Lijstalinea"/>
        <w:numPr>
          <w:ilvl w:val="0"/>
          <w:numId w:val="2"/>
        </w:numPr>
      </w:pPr>
      <w:r>
        <w:t>de financieel beheerder</w:t>
      </w:r>
    </w:p>
    <w:p w:rsidR="00FC5485" w:rsidRDefault="00FC5485" w:rsidP="00FC5485">
      <w:pPr>
        <w:pStyle w:val="Lijstalinea"/>
        <w:numPr>
          <w:ilvl w:val="0"/>
          <w:numId w:val="2"/>
        </w:numPr>
      </w:pPr>
      <w:r>
        <w:t>de toezichthoudende overheid.</w:t>
      </w:r>
    </w:p>
    <w:p w:rsidR="00684202" w:rsidRDefault="00684202"/>
    <w:sectPr w:rsidR="00684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11D"/>
    <w:multiLevelType w:val="hybridMultilevel"/>
    <w:tmpl w:val="DB6A1668"/>
    <w:lvl w:ilvl="0" w:tplc="1174F8AC">
      <w:start w:val="1"/>
      <w:numFmt w:val="bullet"/>
      <w:lvlText w:val="-"/>
      <w:lvlJc w:val="left"/>
      <w:pPr>
        <w:ind w:left="720" w:hanging="360"/>
      </w:pPr>
      <w:rPr>
        <w:rFonts w:ascii="Times New Roman" w:eastAsia="Times New Roman" w:hAnsi="Times New Roman" w:cs="Times New Roman" w:hint="default"/>
        <w:w w:val="99"/>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665A5D97"/>
    <w:multiLevelType w:val="hybridMultilevel"/>
    <w:tmpl w:val="CFC2D616"/>
    <w:lvl w:ilvl="0" w:tplc="04130019">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85"/>
    <w:rsid w:val="00684202"/>
    <w:rsid w:val="00FC54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5485"/>
    <w:pPr>
      <w:spacing w:after="0" w:line="240" w:lineRule="auto"/>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5485"/>
    <w:pPr>
      <w:ind w:left="720"/>
      <w:contextualSpacing/>
    </w:pPr>
    <w:rPr>
      <w:rFonts w:ascii="Trebuchet MS" w:hAnsi="Trebuchet MS"/>
      <w:sz w:val="20"/>
    </w:rPr>
  </w:style>
  <w:style w:type="table" w:styleId="Tabelraster">
    <w:name w:val="Table Grid"/>
    <w:basedOn w:val="Standaardtabel"/>
    <w:uiPriority w:val="59"/>
    <w:rsid w:val="00FC54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5485"/>
    <w:pPr>
      <w:spacing w:after="0" w:line="240" w:lineRule="auto"/>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5485"/>
    <w:pPr>
      <w:ind w:left="720"/>
      <w:contextualSpacing/>
    </w:pPr>
    <w:rPr>
      <w:rFonts w:ascii="Trebuchet MS" w:hAnsi="Trebuchet MS"/>
      <w:sz w:val="20"/>
    </w:rPr>
  </w:style>
  <w:style w:type="table" w:styleId="Tabelraster">
    <w:name w:val="Table Grid"/>
    <w:basedOn w:val="Standaardtabel"/>
    <w:uiPriority w:val="59"/>
    <w:rsid w:val="00FC54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2942</Characters>
  <Application>Microsoft Office Word</Application>
  <DocSecurity>0</DocSecurity>
  <Lines>24</Lines>
  <Paragraphs>6</Paragraphs>
  <ScaleCrop>false</ScaleCrop>
  <Company>Hewlett-Packard Company</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Meyer</dc:creator>
  <cp:keywords/>
  <dc:description/>
  <cp:lastModifiedBy/>
  <cp:revision>1</cp:revision>
  <dcterms:created xsi:type="dcterms:W3CDTF">2018-08-23T08:39:00Z</dcterms:created>
</cp:coreProperties>
</file>